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napToGrid w:val="0"/>
      </w:pPr>
      <w:r>
        <w:rPr>
          <w:rFonts w:ascii="Arial" w:hAnsi="Arial" w:eastAsia="Noto Sans CJK SC"/>
          <w:b/>
          <w:color w:val="000000"/>
          <w:sz w:val="46"/>
        </w:rPr>
        <w:t>Low Refractive Index Coatings</w:t>
      </w:r>
    </w:p>
    <w:p>
      <w:pPr>
        <w:pStyle w:val="Subtitle"/>
        <w:snapToGrid w:val="0"/>
      </w:pPr>
      <w:r>
        <w:rPr>
          <w:rFonts w:ascii="Arial" w:hAnsi="Arial" w:eastAsia="Noto Sans CJK SC"/>
          <w:b w:val="0"/>
          <w:color w:val="000000"/>
          <w:sz w:val="22"/>
        </w:rPr>
        <w:t>Preliminary technical data sheet for wet process anti reflection development</w:t>
      </w:r>
    </w:p>
    <w:p>
      <w:pPr>
        <w:snapToGrid w:val="0"/>
      </w:pPr>
      <w:r>
        <w:rPr>
          <w:rFonts w:ascii="Arial" w:hAnsi="Arial" w:eastAsia="Noto Sans CJK SC"/>
          <w:b w:val="0"/>
          <w:color w:val="000000"/>
          <w:sz w:val="17"/>
        </w:rPr>
        <w:t>TDS-AR-01  |  Revision 0.1  |  09 September 2026  |  www.eclear.ltd</w:t>
      </w:r>
    </w:p>
    <w:p>
      <w:pPr>
        <w:snapToGrid w:val="0"/>
      </w:pPr>
      <w:r>
        <w:rPr>
          <w:rFonts w:ascii="Arial" w:hAnsi="Arial" w:eastAsia="Noto Sans CJK SC"/>
          <w:b/>
          <w:color w:val="000000"/>
        </w:rPr>
        <w:t>Development samples for application evaluation</w:t>
      </w:r>
    </w:p>
    <w:p>
      <w:pPr>
        <w:snapToGrid w:val="0"/>
      </w:pPr>
      <w:r>
        <w:rPr>
          <w:rFonts w:ascii="Arial" w:hAnsi="Arial" w:eastAsia="Noto Sans CJK SC"/>
          <w:b w:val="0"/>
          <w:color w:val="000000"/>
        </w:rPr>
        <w:t>This sheet presents two candidate liquid coating grades for evaluation in wet-process anti-reflection designs. Their reported cured-film refractive indices are 1.15 and 1.25 at 550 nm. Grade selection and film thickness must be matched to the substrate and the complete optical structure; a lower refractive index does not automatically give lower reflection.</w:t>
      </w:r>
    </w:p>
    <w:p>
      <w:pPr>
        <w:snapToGrid w:val="0"/>
      </w:pPr>
      <w:r>
        <w:rPr>
          <w:rFonts w:ascii="Arial" w:hAnsi="Arial" w:eastAsia="Noto Sans CJK SC"/>
          <w:b w:val="0"/>
          <w:color w:val="000000"/>
          <w:sz w:val="18"/>
        </w:rPr>
        <w:t>EC-CO-AR-D115 and EC-CO-AR-D125 are proposed ECLEAR development references. They identify separate candidates and are not released commercial grades.</w:t>
      </w:r>
    </w:p>
    <w:p>
      <w:pPr>
        <w:pStyle w:val="Heading1"/>
        <w:snapToGrid w:val="0"/>
      </w:pPr>
      <w:r>
        <w:rPr>
          <w:rFonts w:ascii="Arial" w:hAnsi="Arial" w:eastAsia="Noto Sans CJK SC"/>
          <w:b/>
          <w:color w:val="000000"/>
          <w:sz w:val="24"/>
        </w:rPr>
        <w:t>Reported reference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4706"/>
        <w:gridCol w:w="2268"/>
        <w:gridCol w:w="2268"/>
      </w:tblGrid>
      <w:tr>
        <w:trPr>
          <w:cantSplit/>
          <w:tblHeader/>
        </w:trPr>
        <w:tc>
          <w:tcPr>
            <w:tcW w:type="dxa" w:w="4706"/>
            <w:vAlign w:val="center"/>
            <w:shd w:fill="303C70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</w:pPr>
            <w:r>
              <w:rPr>
                <w:rFonts w:ascii="Arial" w:hAnsi="Arial" w:eastAsia="Noto Sans CJK SC"/>
                <w:b/>
                <w:color w:val="FFFFFF"/>
                <w:sz w:val="18"/>
              </w:rPr>
              <w:t>Property and condition</w:t>
            </w:r>
          </w:p>
        </w:tc>
        <w:tc>
          <w:tcPr>
            <w:tcW w:type="dxa" w:w="2268"/>
            <w:vAlign w:val="center"/>
            <w:shd w:fill="303C70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  <w:jc w:val="center"/>
            </w:pPr>
            <w:r>
              <w:rPr>
                <w:rFonts w:ascii="Arial" w:hAnsi="Arial" w:eastAsia="Noto Sans CJK SC"/>
                <w:b/>
                <w:color w:val="FFFFFF"/>
                <w:sz w:val="18"/>
              </w:rPr>
              <w:t>EC-CO-AR-D115</w:t>
            </w:r>
          </w:p>
        </w:tc>
        <w:tc>
          <w:tcPr>
            <w:tcW w:type="dxa" w:w="2268"/>
            <w:vAlign w:val="center"/>
            <w:shd w:fill="303C70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  <w:jc w:val="center"/>
            </w:pPr>
            <w:r>
              <w:rPr>
                <w:rFonts w:ascii="Arial" w:hAnsi="Arial" w:eastAsia="Noto Sans CJK SC"/>
                <w:b/>
                <w:color w:val="FFFFFF"/>
                <w:sz w:val="18"/>
              </w:rPr>
              <w:t>EC-CO-AR-D125</w:t>
            </w:r>
          </w:p>
        </w:tc>
      </w:tr>
      <w:tr>
        <w:trPr>
          <w:cantSplit/>
        </w:trPr>
        <w:tc>
          <w:tcPr>
            <w:tcW w:type="dxa" w:w="4706"/>
            <w:vAlign w:val="center"/>
            <w:shd w:fill="FFFFF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Cured-film refractive index n at 550 nm</w:t>
            </w:r>
          </w:p>
        </w:tc>
        <w:tc>
          <w:tcPr>
            <w:tcW w:type="dxa" w:w="2268"/>
            <w:vAlign w:val="center"/>
            <w:shd w:fill="FFFFF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  <w:jc w:val="center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1.15</w:t>
            </w:r>
          </w:p>
        </w:tc>
        <w:tc>
          <w:tcPr>
            <w:tcW w:type="dxa" w:w="2268"/>
            <w:vAlign w:val="center"/>
            <w:shd w:fill="FFFFF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  <w:jc w:val="center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1.25</w:t>
            </w:r>
          </w:p>
        </w:tc>
      </w:tr>
      <w:tr>
        <w:trPr>
          <w:cantSplit/>
        </w:trPr>
        <w:tc>
          <w:tcPr>
            <w:tcW w:type="dxa" w:w="4706"/>
            <w:vAlign w:val="center"/>
            <w:shd w:fill="F1F4F8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Viscosity¹</w:t>
            </w:r>
          </w:p>
        </w:tc>
        <w:tc>
          <w:tcPr>
            <w:tcW w:type="dxa" w:w="2268"/>
            <w:vAlign w:val="center"/>
            <w:shd w:fill="F1F4F8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  <w:jc w:val="center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2.0 cP</w:t>
            </w:r>
          </w:p>
        </w:tc>
        <w:tc>
          <w:tcPr>
            <w:tcW w:type="dxa" w:w="2268"/>
            <w:vAlign w:val="center"/>
            <w:shd w:fill="F1F4F8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  <w:jc w:val="center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2.5 cP</w:t>
            </w:r>
          </w:p>
        </w:tc>
      </w:tr>
      <w:tr>
        <w:trPr>
          <w:cantSplit/>
        </w:trPr>
        <w:tc>
          <w:tcPr>
            <w:tcW w:type="dxa" w:w="4706"/>
            <w:vAlign w:val="center"/>
            <w:shd w:fill="FFFFF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Solids content¹</w:t>
            </w:r>
          </w:p>
        </w:tc>
        <w:tc>
          <w:tcPr>
            <w:tcW w:type="dxa" w:w="2268"/>
            <w:vAlign w:val="center"/>
            <w:shd w:fill="FFFFF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  <w:jc w:val="center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6.4%</w:t>
            </w:r>
          </w:p>
        </w:tc>
        <w:tc>
          <w:tcPr>
            <w:tcW w:type="dxa" w:w="2268"/>
            <w:vAlign w:val="center"/>
            <w:shd w:fill="FFFFF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  <w:jc w:val="center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14%</w:t>
            </w:r>
          </w:p>
        </w:tc>
      </w:tr>
      <w:tr>
        <w:trPr>
          <w:cantSplit/>
        </w:trPr>
        <w:tc>
          <w:tcPr>
            <w:tcW w:type="dxa" w:w="4706"/>
            <w:vAlign w:val="center"/>
            <w:shd w:fill="F1F4F8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Haze at approximately 1 μm film thickness²</w:t>
            </w:r>
          </w:p>
        </w:tc>
        <w:tc>
          <w:tcPr>
            <w:tcW w:type="dxa" w:w="2268"/>
            <w:vAlign w:val="center"/>
            <w:shd w:fill="F1F4F8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  <w:jc w:val="center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0.02%</w:t>
            </w:r>
          </w:p>
        </w:tc>
        <w:tc>
          <w:tcPr>
            <w:tcW w:type="dxa" w:w="2268"/>
            <w:vAlign w:val="center"/>
            <w:shd w:fill="F1F4F8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  <w:jc w:val="center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2.0%</w:t>
            </w:r>
          </w:p>
        </w:tc>
      </w:tr>
      <w:tr>
        <w:trPr>
          <w:cantSplit/>
        </w:trPr>
        <w:tc>
          <w:tcPr>
            <w:tcW w:type="dxa" w:w="4706"/>
            <w:vAlign w:val="center"/>
            <w:shd w:fill="FFFFF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Thickness used for ellipsometry</w:t>
            </w:r>
          </w:p>
        </w:tc>
        <w:tc>
          <w:tcPr>
            <w:tcW w:type="dxa" w:w="2268"/>
            <w:vAlign w:val="center"/>
            <w:shd w:fill="FFFFF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  <w:jc w:val="center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1.01 μm</w:t>
            </w:r>
          </w:p>
        </w:tc>
        <w:tc>
          <w:tcPr>
            <w:tcW w:type="dxa" w:w="2268"/>
            <w:vAlign w:val="center"/>
            <w:shd w:fill="FFFFF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  <w:jc w:val="center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1.01 μm</w:t>
            </w:r>
          </w:p>
        </w:tc>
      </w:tr>
      <w:tr>
        <w:trPr>
          <w:cantSplit/>
        </w:trPr>
        <w:tc>
          <w:tcPr>
            <w:tcW w:type="dxa" w:w="4706"/>
            <w:vAlign w:val="center"/>
            <w:shd w:fill="F1F4F8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Extinction coefficient k at 550 nm³</w:t>
            </w:r>
          </w:p>
        </w:tc>
        <w:tc>
          <w:tcPr>
            <w:tcW w:type="dxa" w:w="2268"/>
            <w:vAlign w:val="center"/>
            <w:shd w:fill="F1F4F8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  <w:jc w:val="center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0.0000</w:t>
            </w:r>
          </w:p>
        </w:tc>
        <w:tc>
          <w:tcPr>
            <w:tcW w:type="dxa" w:w="2268"/>
            <w:vAlign w:val="center"/>
            <w:shd w:fill="F1F4F8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  <w:jc w:val="center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0.0000</w:t>
            </w:r>
          </w:p>
        </w:tc>
      </w:tr>
      <w:tr>
        <w:trPr>
          <w:cantSplit/>
        </w:trPr>
        <w:tc>
          <w:tcPr>
            <w:tcW w:type="dxa" w:w="4706"/>
            <w:vAlign w:val="center"/>
            <w:shd w:fill="FFFFF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Reported laboratory curing condition⁴</w:t>
            </w:r>
          </w:p>
        </w:tc>
        <w:tc>
          <w:tcPr>
            <w:tcW w:type="dxa" w:w="2268"/>
            <w:vAlign w:val="center"/>
            <w:shd w:fill="FFFFF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  <w:jc w:val="center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230°C × 30 min</w:t>
            </w:r>
          </w:p>
        </w:tc>
        <w:tc>
          <w:tcPr>
            <w:tcW w:type="dxa" w:w="2268"/>
            <w:vAlign w:val="center"/>
            <w:shd w:fill="FFFFF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  <w:jc w:val="center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230°C × 30 min</w:t>
            </w:r>
          </w:p>
        </w:tc>
      </w:tr>
      <w:tr>
        <w:trPr>
          <w:cantSplit/>
        </w:trPr>
        <w:tc>
          <w:tcPr>
            <w:tcW w:type="dxa" w:w="4706"/>
            <w:vAlign w:val="center"/>
            <w:shd w:fill="F1F4F8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Reported storage temperature</w:t>
            </w:r>
          </w:p>
        </w:tc>
        <w:tc>
          <w:tcPr>
            <w:tcW w:type="dxa" w:w="2268"/>
            <w:vAlign w:val="center"/>
            <w:shd w:fill="F1F4F8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  <w:jc w:val="center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4–10°C</w:t>
            </w:r>
          </w:p>
        </w:tc>
        <w:tc>
          <w:tcPr>
            <w:tcW w:type="dxa" w:w="2268"/>
            <w:vAlign w:val="center"/>
            <w:shd w:fill="F1F4F8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  <w:jc w:val="center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4–10°C</w:t>
            </w:r>
          </w:p>
        </w:tc>
      </w:tr>
      <w:tr>
        <w:trPr>
          <w:cantSplit/>
        </w:trPr>
        <w:tc>
          <w:tcPr>
            <w:tcW w:type="dxa" w:w="4706"/>
            <w:vAlign w:val="center"/>
            <w:shd w:fill="FFFFF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Reported storage duration⁵</w:t>
            </w:r>
          </w:p>
        </w:tc>
        <w:tc>
          <w:tcPr>
            <w:tcW w:type="dxa" w:w="2268"/>
            <w:vAlign w:val="center"/>
            <w:shd w:fill="FFFFF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  <w:jc w:val="center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3 months</w:t>
            </w:r>
          </w:p>
        </w:tc>
        <w:tc>
          <w:tcPr>
            <w:tcW w:type="dxa" w:w="2268"/>
            <w:vAlign w:val="center"/>
            <w:shd w:fill="FFFFF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napToGrid w:val="0"/>
              <w:spacing w:after="0" w:before="0" w:line="250" w:lineRule="auto"/>
              <w:jc w:val="center"/>
            </w:pPr>
            <w:r>
              <w:rPr>
                <w:rFonts w:ascii="Arial" w:hAnsi="Arial" w:eastAsia="Noto Sans CJK SC"/>
                <w:b w:val="0"/>
                <w:color w:val="000000"/>
                <w:sz w:val="18"/>
              </w:rPr>
              <w:t>3 months</w:t>
            </w:r>
          </w:p>
        </w:tc>
      </w:tr>
    </w:tbl>
    <w:p>
      <w:pPr>
        <w:spacing w:after="0"/>
      </w:pPr>
    </w:p>
    <w:p>
      <w:pPr>
        <w:snapToGrid w:val="0"/>
      </w:pPr>
      <w:r>
        <w:rPr>
          <w:rFonts w:ascii="Arial" w:hAnsi="Arial" w:eastAsia="Noto Sans CJK SC"/>
          <w:b w:val="0"/>
          <w:color w:val="000000"/>
          <w:sz w:val="17"/>
        </w:rPr>
        <w:t>Basis: development-sample documentation dated 09 September 2026. Values are source-reported reference data, not ECLEAR verification results or batch acceptance limits.</w:t>
      </w:r>
    </w:p>
    <w:p>
      <w:pPr>
        <w:snapToGrid w:val="0"/>
      </w:pPr>
      <w:r>
        <w:rPr>
          <w:rFonts w:ascii="Arial" w:hAnsi="Arial" w:eastAsia="Noto Sans CJK SC"/>
          <w:b w:val="0"/>
          <w:color w:val="000000"/>
          <w:sz w:val="17"/>
        </w:rPr>
        <w:t>¹ Viscosity: Brookfield viscometer; measurement temperature and settings are unspecified. Solids: heat-and-loss method; percentage basis and test procedure require confirmation.</w:t>
      </w:r>
    </w:p>
    <w:p>
      <w:pPr>
        <w:snapToGrid w:val="0"/>
      </w:pPr>
      <w:r>
        <w:rPr>
          <w:rFonts w:ascii="Arial" w:hAnsi="Arial" w:eastAsia="Noto Sans CJK SC"/>
          <w:b w:val="0"/>
          <w:color w:val="000000"/>
          <w:sz w:val="17"/>
        </w:rPr>
        <w:t>² Haze: Nippon Denshoku COH 5500. Test substrate, reference and standard are unspecified. Values must not be transferred to a different coating thickness or optical stack.</w:t>
      </w:r>
    </w:p>
    <w:p>
      <w:pPr>
        <w:snapToGrid w:val="0"/>
      </w:pPr>
      <w:r>
        <w:rPr>
          <w:rFonts w:ascii="Arial" w:hAnsi="Arial" w:eastAsia="Noto Sans CJK SC"/>
          <w:b w:val="0"/>
          <w:color w:val="000000"/>
          <w:sz w:val="17"/>
        </w:rPr>
        <w:t>³ Refractive index, k and thickness: ellipsometry. The displayed k value applies only at 550 nm and at the reported precision.</w:t>
      </w:r>
    </w:p>
    <w:p>
      <w:pPr>
        <w:snapToGrid w:val="0"/>
      </w:pPr>
      <w:r>
        <w:rPr>
          <w:rFonts w:ascii="Arial" w:hAnsi="Arial" w:eastAsia="Noto Sans CJK SC"/>
          <w:b w:val="0"/>
          <w:color w:val="000000"/>
          <w:sz w:val="17"/>
        </w:rPr>
        <w:t>⁴ This is a reported laboratory condition, not a validated application recipe. ⁵ The storage-duration start point and packaging conditions are unspecified; confirm batch-specific shelf-life information.</w:t>
      </w:r>
    </w:p>
    <w:p>
      <w:r>
        <w:br w:type="page"/>
      </w:r>
    </w:p>
    <w:p>
      <w:pPr>
        <w:pStyle w:val="Heading1"/>
        <w:snapToGrid w:val="0"/>
      </w:pPr>
      <w:r>
        <w:rPr>
          <w:rFonts w:ascii="Arial" w:hAnsi="Arial" w:eastAsia="Noto Sans CJK SC"/>
          <w:b/>
          <w:color w:val="000000"/>
          <w:sz w:val="24"/>
        </w:rPr>
        <w:t>Application scope</w:t>
      </w:r>
    </w:p>
    <w:p>
      <w:pPr>
        <w:snapToGrid w:val="0"/>
      </w:pPr>
      <w:r>
        <w:rPr>
          <w:rFonts w:ascii="Arial" w:hAnsi="Arial" w:eastAsia="Noto Sans CJK SC"/>
          <w:b w:val="0"/>
          <w:color w:val="000000"/>
        </w:rPr>
        <w:t>Potential evaluation work includes low-index layers on glass or other substrates demonstrated to tolerate the selected coating and curing process. PET display films are a development direction only. Suitability for PET, PC, PMMA and existing hard-coated surfaces has not been established by the available sample data.</w:t>
      </w:r>
    </w:p>
    <w:p>
      <w:pPr>
        <w:snapToGrid w:val="0"/>
      </w:pPr>
      <w:r>
        <w:rPr>
          <w:rFonts w:ascii="Arial" w:hAnsi="Arial" w:eastAsia="Noto Sans CJK SC"/>
          <w:b w:val="0"/>
          <w:color w:val="000000"/>
        </w:rPr>
        <w:t>The reported 230°C for 30 minutes must not be adopted directly for ordinary PC helmet visors or heat-sensitive optical parts. Review the thermal limits of the actual substrate, existing coatings and complete assembly before planning trials.</w:t>
      </w:r>
    </w:p>
    <w:p>
      <w:pPr>
        <w:pStyle w:val="Heading1"/>
        <w:snapToGrid w:val="0"/>
      </w:pPr>
      <w:r>
        <w:rPr>
          <w:rFonts w:ascii="Arial" w:hAnsi="Arial" w:eastAsia="Noto Sans CJK SC"/>
          <w:b/>
          <w:color w:val="000000"/>
          <w:sz w:val="24"/>
        </w:rPr>
        <w:t>Processing review</w:t>
      </w:r>
    </w:p>
    <w:p>
      <w:pPr>
        <w:snapToGrid w:val="0"/>
      </w:pPr>
      <w:r>
        <w:rPr>
          <w:rFonts w:ascii="Arial" w:hAnsi="Arial" w:eastAsia="Noto Sans CJK SC"/>
          <w:b w:val="0"/>
          <w:color w:val="000000"/>
        </w:rPr>
        <w:t>Before a coating trial, establish the candidate material identity, substrate preparation, wetting behaviour, target dry-film thickness and application method. The available documentation does not provide a validated dilution ratio, solvent specification, filtration requirement, pot life or coating-speed window.</w:t>
      </w:r>
    </w:p>
    <w:p>
      <w:pPr>
        <w:snapToGrid w:val="0"/>
      </w:pPr>
      <w:r>
        <w:rPr>
          <w:rFonts w:ascii="Arial" w:hAnsi="Arial" w:eastAsia="Noto Sans CJK SC"/>
          <w:b w:val="0"/>
          <w:color w:val="000000"/>
        </w:rPr>
        <w:t>Confirm whether the curing temperature refers to the oven setpoint or the sample temperature, together with the temperature profile and hold time. A lower-temperature or UV-curable version is not established by this sheet.</w:t>
      </w:r>
    </w:p>
    <w:p>
      <w:pPr>
        <w:pStyle w:val="Heading1"/>
        <w:snapToGrid w:val="0"/>
      </w:pPr>
      <w:r>
        <w:rPr>
          <w:rFonts w:ascii="Arial" w:hAnsi="Arial" w:eastAsia="Noto Sans CJK SC"/>
          <w:b/>
          <w:color w:val="000000"/>
          <w:sz w:val="24"/>
        </w:rPr>
        <w:t>Optical performance and validation</w:t>
      </w:r>
    </w:p>
    <w:p>
      <w:pPr>
        <w:snapToGrid w:val="0"/>
      </w:pPr>
      <w:r>
        <w:rPr>
          <w:rFonts w:ascii="Arial" w:hAnsi="Arial" w:eastAsia="Noto Sans CJK SC"/>
          <w:b w:val="0"/>
          <w:color w:val="000000"/>
        </w:rPr>
        <w:t>The 1.01 μm value describes the film used for ellipsometry; it is not a recommended anti-reflection layer thickness. The separate optical simulation does not establish either candidate grade’s finished-article performance. No reflectance or absolute transmission specification is assigned in this revision.</w:t>
      </w:r>
    </w:p>
    <w:p>
      <w:pPr>
        <w:snapToGrid w:val="0"/>
      </w:pPr>
      <w:r>
        <w:rPr>
          <w:rFonts w:ascii="Arial" w:hAnsi="Arial" w:eastAsia="Noto Sans CJK SC"/>
          <w:b w:val="0"/>
          <w:color w:val="000000"/>
        </w:rPr>
        <w:t>Validate the coated article at its intended thickness and layer structure. Record spectral reflectance and transmission, haze, measurement geometry, wavelength range, reference sample and front/back surface configuration. Establish adhesion, appearance and the abrasion, humidity, water or cleaning resistance required by the application.</w:t>
      </w:r>
    </w:p>
    <w:p>
      <w:pPr>
        <w:snapToGrid w:val="0"/>
      </w:pPr>
      <w:r>
        <w:rPr>
          <w:rFonts w:ascii="Arial" w:hAnsi="Arial" w:eastAsia="Noto Sans CJK SC"/>
          <w:b w:val="0"/>
          <w:color w:val="000000"/>
        </w:rPr>
        <w:t>For EC-CO-AR-D125, the reported 2.0% haze requires particular attention where optical clarity is critical. It does not establish an anti-glare function. Neither grade has a verified hardness, anti-fingerprint or hydrophobic specification in this revision.</w:t>
      </w:r>
    </w:p>
    <w:p>
      <w:pPr>
        <w:pStyle w:val="Heading1"/>
        <w:snapToGrid w:val="0"/>
      </w:pPr>
      <w:r>
        <w:rPr>
          <w:rFonts w:ascii="Arial" w:hAnsi="Arial" w:eastAsia="Noto Sans CJK SC"/>
          <w:b/>
          <w:color w:val="000000"/>
          <w:sz w:val="24"/>
        </w:rPr>
        <w:t>Storage handling and supply information</w:t>
      </w:r>
    </w:p>
    <w:p>
      <w:pPr>
        <w:snapToGrid w:val="0"/>
      </w:pPr>
      <w:r>
        <w:rPr>
          <w:rFonts w:ascii="Arial" w:hAnsi="Arial" w:eastAsia="Noto Sans CJK SC"/>
          <w:b w:val="0"/>
          <w:color w:val="000000"/>
        </w:rPr>
        <w:t>The reported storage condition is 4–10°C for 3 months. Confirm shelf life, packaging, transport temperature and any permitted room-temperature exposure for the actual batch. Obtain the applicable Safety Data Sheet before handling; use its requirements for storage, ventilation, personal protection and disposal.</w:t>
      </w:r>
    </w:p>
    <w:p>
      <w:pPr>
        <w:snapToGrid w:val="0"/>
      </w:pPr>
      <w:r>
        <w:rPr>
          <w:rFonts w:ascii="Arial" w:hAnsi="Arial" w:eastAsia="Noto Sans CJK SC"/>
          <w:b w:val="0"/>
          <w:color w:val="000000"/>
        </w:rPr>
        <w:t>Packaging, order quantity, lead time and commercial availability require confirmation for each enquiry. A current controlled TDS, batch identification and agreed test conditions are needed before material qualification or production release.</w:t>
      </w:r>
    </w:p>
    <w:p>
      <w:pPr>
        <w:pStyle w:val="Heading1"/>
        <w:snapToGrid w:val="0"/>
      </w:pPr>
      <w:r>
        <w:rPr>
          <w:rFonts w:ascii="Arial" w:hAnsi="Arial" w:eastAsia="Noto Sans CJK SC"/>
          <w:b/>
          <w:color w:val="000000"/>
          <w:sz w:val="24"/>
        </w:rPr>
        <w:t>Technical enquiry</w:t>
      </w:r>
    </w:p>
    <w:p>
      <w:pPr>
        <w:snapToGrid w:val="0"/>
      </w:pPr>
      <w:r>
        <w:rPr>
          <w:rFonts w:ascii="Arial" w:hAnsi="Arial" w:eastAsia="Noto Sans CJK SC"/>
          <w:b w:val="0"/>
          <w:color w:val="000000"/>
        </w:rPr>
        <w:t>Provide the substrate and existing layer structure, target optical performance, intended dry-film thickness, available coating equipment, curing limits and durability requirements. ECLEAR can then discuss the scope of an application evaluation.</w:t>
      </w:r>
    </w:p>
    <w:p>
      <w:hyperlink r:id="rId11">
        <w:r>
          <w:rPr>
            <w:sz w:val="18"/>
          </w:rPr>
          <w:t>ECLEAR®  |  www.eclear.ltd</w:t>
        </w:r>
      </w:hyperlink>
    </w:p>
    <w:p>
      <w:pPr>
        <w:snapToGrid w:val="0"/>
      </w:pPr>
      <w:r>
        <w:rPr>
          <w:rFonts w:ascii="Arial" w:hAnsi="Arial" w:eastAsia="Noto Sans CJK SC"/>
          <w:b w:val="0"/>
          <w:color w:val="000000"/>
          <w:sz w:val="17"/>
        </w:rPr>
        <w:t>This preliminary document supports technical evaluation. It does not establish a supply specification, certify fitness for a particular use or confirm production qualification. Final specifications must be agreed for the actual material and application.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62" w:right="1049" w:bottom="964" w:left="1049" w:header="454" w:footer="39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08" w:val="right"/>
      </w:tabs>
    </w:pPr>
    <w:r>
      <w:rPr>
        <w:rFonts w:ascii="Arial" w:hAnsi="Arial" w:eastAsia="Noto Sans CJK SC"/>
        <w:color w:val="000000"/>
        <w:sz w:val="16"/>
      </w:rPr>
      <w:t>ECLEAR®  |  TDS-AR-01  |  Rev 0.1  |  Preliminary</w:t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08" w:val="right"/>
      </w:tabs>
    </w:pPr>
    <w:r>
      <w:rPr>
        <w:rFonts w:ascii="Arial" w:hAnsi="Arial" w:eastAsia="Noto Sans CJK SC"/>
        <w:color w:val="000000"/>
      </w:rPr>
      <w:drawing>
        <wp:inline xmlns:a="http://schemas.openxmlformats.org/drawingml/2006/main" xmlns:pic="http://schemas.openxmlformats.org/drawingml/2006/picture">
          <wp:extent cx="1260000" cy="15937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clea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0000" cy="15937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Noto Sans CJK SC"/>
        <w:b/>
        <w:color w:val="000000"/>
        <w:sz w:val="18"/>
      </w:rPr>
      <w:tab/>
      <w:t>OPTICAL COATINGS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Arial" w:hAnsi="Arial" w:eastAsia="Noto Sans CJK SC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  <w:rPr>
      <w:rFonts w:ascii="Arial" w:hAnsi="Arial" w:eastAsia="Noto Sans CJK SC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rFonts w:ascii="Arial" w:hAnsi="Arial" w:eastAsia="Noto Sans CJK SC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 w:eastAsia="Noto Sans CJK SC"/>
      <w:b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 w:eastAsia="Noto Sans CJK SC"/>
      <w:b/>
      <w:bCs/>
      <w:i w:val="0"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 w:eastAsia="Noto Sans CJK SC"/>
      <w:b/>
      <w:i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00"/>
    </w:pPr>
    <w:rPr>
      <w:rFonts w:asciiTheme="majorHAnsi" w:eastAsiaTheme="majorEastAsia" w:hAnsiTheme="majorHAnsi" w:cstheme="majorBidi" w:ascii="Arial" w:hAnsi="Arial" w:eastAsia="Noto Sans CJK SC"/>
      <w:b w:val="0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eclear.ltd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ECLEAR Low Refractive Index Coatings</dc:title>
  <dc:subject>Low refractive index coating development</dc:subject>
  <dc:creator>ECLEAR</dc:creator>
  <cp:keywords>ECLEAR, Optical Coatings, low refractive index, preliminary TDS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